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18D7E84E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826E13">
        <w:rPr>
          <w:b/>
          <w:sz w:val="18"/>
          <w:szCs w:val="18"/>
        </w:rPr>
        <w:t>3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874EE6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03EC29C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DEĞERLERİMİZLE VARIZ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19C49F06" w:rsidR="005458FA" w:rsidRPr="00874EE6" w:rsidRDefault="00CB404D" w:rsidP="005019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Güvercin Tini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383306CF" w14:textId="15B74C00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18990F24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T.K.2.3. Konuşma kurallarını uygulayabilme</w:t>
            </w:r>
          </w:p>
          <w:p w14:paraId="42E686AF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Konuşmalarında konuşma hızını ayarlar.</w:t>
            </w:r>
          </w:p>
          <w:p w14:paraId="20C9C0A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Konuşmalarında vurgu ve tonlamaya dikkat eder.</w:t>
            </w:r>
          </w:p>
          <w:p w14:paraId="76F1127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Konuşmalarında, sözcükleri yerinde ve anlamına uygun kullanır.</w:t>
            </w:r>
          </w:p>
          <w:p w14:paraId="195E8832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e) Konuşmalarında anlamlı ve kurallı cümleler kullanır.</w:t>
            </w:r>
          </w:p>
          <w:p w14:paraId="5A9BB0B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T.O.2.1. Okuma sürecini yönetebilme</w:t>
            </w:r>
          </w:p>
          <w:p w14:paraId="21D7526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Okuyacağı metnin başlığı ve görsellerini inceler.</w:t>
            </w:r>
          </w:p>
          <w:p w14:paraId="5C81A8F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Kuralına uygun sesli ve sessiz okur.</w:t>
            </w:r>
          </w:p>
          <w:p w14:paraId="753BDA41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Noktalama işaretlerine dikkat ederek okur.</w:t>
            </w:r>
          </w:p>
          <w:p w14:paraId="1430D73E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T.O.2.2. Okudukları ile ilgili anlam oluşturabilme</w:t>
            </w:r>
          </w:p>
          <w:p w14:paraId="30BE211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Okuduğu metindeki bilgiler ile ön bilgileri arasında bağlantı kurar.</w:t>
            </w:r>
          </w:p>
          <w:p w14:paraId="090858B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Okuyacağı metnin başlığından ve görsellerinden hareketle metnin konusu hakkında tahminde bulunur.</w:t>
            </w:r>
          </w:p>
          <w:p w14:paraId="203FDA11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Metnin başlığı ve görsellerinden hareketle metinde geçen bilgiler/olaylar hakkında tahminde bulunur.</w:t>
            </w:r>
          </w:p>
          <w:p w14:paraId="4C9D8E80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T.O.2.3. Okuduklarını çözümleyebilme</w:t>
            </w:r>
          </w:p>
          <w:p w14:paraId="5370938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Okuduğu metindeki karakter, olay ve bilgileri açıklar.</w:t>
            </w:r>
          </w:p>
          <w:p w14:paraId="20D953E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Okuduğu metnin konusunu bulur.</w:t>
            </w:r>
          </w:p>
          <w:p w14:paraId="4C7489ED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T.Y.2.1. Yazılı anlatım becerilerini yönetebilme</w:t>
            </w:r>
          </w:p>
          <w:p w14:paraId="2DDC2E1A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Verilen bir yazma görevini hazırlık yaparak yazar.</w:t>
            </w:r>
          </w:p>
          <w:p w14:paraId="72E16F9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T.Y.2.2. Yazılarında içerik oluşturabilme</w:t>
            </w:r>
          </w:p>
          <w:p w14:paraId="4D82CD0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Bir metinde eksik bırakılan cümleleri ön bilgilerini kullanarak yazar.</w:t>
            </w:r>
          </w:p>
          <w:p w14:paraId="2E0018A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Bir sözcüğün anlamına ilişkin tahminlerini bağlamdan yararlanarak yazar.</w:t>
            </w:r>
          </w:p>
          <w:p w14:paraId="54BE7E5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Yarım bırakılan bir metni ön bilgilerinden hareketle yazar.</w:t>
            </w:r>
          </w:p>
          <w:p w14:paraId="2B025209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f) Yazılarında sözcükleri anlamına uygun kullanır.</w:t>
            </w:r>
          </w:p>
          <w:p w14:paraId="1311E91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g) Dinlediği/izlediği veya okuduğu bir metindeki olayları oluş sırasına göre kendi ifadeleriyle yazar.</w:t>
            </w:r>
          </w:p>
          <w:p w14:paraId="31286F60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ğ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Basit yönergeler yazar.</w:t>
            </w:r>
          </w:p>
          <w:p w14:paraId="7745830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T.Y.2.3. Yazma kurallarını uygulayabilme</w:t>
            </w:r>
          </w:p>
          <w:p w14:paraId="40C16702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Anlamını bilmediği sözcüğün anlamını çevrim içi veya basılı kaynaklardan araştırarak yazar.</w:t>
            </w:r>
          </w:p>
          <w:p w14:paraId="5699971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Yazılarında sözcükleri yerinde kullanır.</w:t>
            </w:r>
          </w:p>
          <w:p w14:paraId="5D46EFC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g) Yazılarında yazım alanını uygun şekilde (yazıyı sayfaya hizalama, paragraf başı, satır sonuna sığmayan sözcükler vb.) kullanır.</w:t>
            </w:r>
          </w:p>
          <w:p w14:paraId="65BB95AF" w14:textId="056980A2" w:rsidR="002735FF" w:rsidRPr="00874EE6" w:rsidRDefault="002735FF" w:rsidP="002735FF">
            <w:pPr>
              <w:rPr>
                <w:b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ğ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Yazılarında noktalama işaretlerini (nokta, kesme işareti, virgül, iki nokta, ünlem, tırnak işareti, soru işareti, kısa çizgi) kuralına uygun kullanır.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50B2F13C" w14:textId="77777777" w:rsidR="00874EE6" w:rsidRPr="00874EE6" w:rsidRDefault="00874EE6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4FCB5913" w14:textId="78887F24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20)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BD515AF" w14:textId="246753A2" w:rsidR="0027717B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Metin okuma kurallarına</w:t>
            </w:r>
            <w:r w:rsidR="0027717B">
              <w:rPr>
                <w:b/>
                <w:sz w:val="18"/>
                <w:szCs w:val="18"/>
              </w:rPr>
              <w:t xml:space="preserve"> uygun olarak </w:t>
            </w:r>
            <w:r>
              <w:rPr>
                <w:b/>
                <w:sz w:val="18"/>
                <w:szCs w:val="18"/>
              </w:rPr>
              <w:t>sesli ve sessiz okunur.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4531314E" w14:textId="61D2C2D3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</w:t>
            </w:r>
            <w:r w:rsidR="00F30A1A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) Sözlük etkinliği yapılır.</w:t>
            </w:r>
          </w:p>
          <w:p w14:paraId="7558B32C" w14:textId="556C2BBF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</w:t>
            </w:r>
            <w:r w:rsidR="00F30A1A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F30A1A">
              <w:rPr>
                <w:b/>
                <w:sz w:val="18"/>
                <w:szCs w:val="18"/>
              </w:rPr>
              <w:t>Canlandırma etkinliği yapılır. Metne ait sorular cevaplanır. Karşılaştırma etkinliği yapılır.</w:t>
            </w:r>
          </w:p>
          <w:p w14:paraId="472509FD" w14:textId="760D4FEF" w:rsidR="00874EE6" w:rsidRPr="00874EE6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F30A1A">
              <w:rPr>
                <w:b/>
                <w:sz w:val="18"/>
                <w:szCs w:val="18"/>
              </w:rPr>
              <w:t>30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F30A1A">
              <w:rPr>
                <w:b/>
                <w:sz w:val="18"/>
                <w:szCs w:val="18"/>
              </w:rPr>
              <w:t xml:space="preserve">Tırnak İşareti </w:t>
            </w:r>
            <w:r>
              <w:rPr>
                <w:b/>
                <w:sz w:val="18"/>
                <w:szCs w:val="18"/>
              </w:rPr>
              <w:t>etkinliği yapılır.</w:t>
            </w: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7D177EB7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 xml:space="preserve">Zenginleştirme sürecinde öğrencilerin </w:t>
            </w:r>
            <w:proofErr w:type="spellStart"/>
            <w:r w:rsidRPr="00874EE6">
              <w:rPr>
                <w:color w:val="444444"/>
                <w:sz w:val="18"/>
                <w:szCs w:val="18"/>
              </w:rPr>
              <w:t>hazırbulunuşluk</w:t>
            </w:r>
            <w:proofErr w:type="spellEnd"/>
            <w:r w:rsidRPr="00874EE6">
              <w:rPr>
                <w:color w:val="444444"/>
                <w:sz w:val="18"/>
                <w:szCs w:val="18"/>
              </w:rPr>
              <w:t>, ilgi ve öğrenme stilleri dikkate alınır ve bunlara ilişkin etkinlik/materyal hazırlanabilir. Bunlar merak uyandıracak, üst düzey düşünmeye yöneltecek ve bireysel öğrenme ihtiyaçlarını karşılamaya yönelik olabilir. Dinleyeceği/izleyeceği/okuyacağı metinle ilişkili hikâye oluşturma, canlandırma yapma, dijital araçlardan yararlanma, görsel oluşturma, oyun tasarlama, sunu hazırlama, yazarın iletilerini sorgulama, tartışma, metni yeniden kurgulama gibi etkinliklerle süreç zenginleştirilebilir.</w:t>
            </w:r>
          </w:p>
          <w:p w14:paraId="53FCC3F9" w14:textId="6AFF9968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Zenginleştirme sürecinde öğrenme ortamları öğrencilerin farklı öğrenme stillerine göre bireysel ve iş birlikli çalışmalara katkı sağlayacak şekilde tasarlanabilir. Bununla birlikte okul dışı öğrenme ortamları da sürece dâhil edilebilir.</w:t>
            </w: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45E0812C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 xml:space="preserve">Destekleme sürecinde öğrencilerin </w:t>
            </w:r>
            <w:proofErr w:type="spellStart"/>
            <w:r w:rsidRPr="00874EE6">
              <w:rPr>
                <w:color w:val="444444"/>
                <w:sz w:val="18"/>
                <w:szCs w:val="18"/>
              </w:rPr>
              <w:t>hazırbulunuşluk</w:t>
            </w:r>
            <w:proofErr w:type="spellEnd"/>
            <w:r w:rsidRPr="00874EE6">
              <w:rPr>
                <w:color w:val="444444"/>
                <w:sz w:val="18"/>
                <w:szCs w:val="18"/>
              </w:rPr>
              <w:t>, ilgi ve öğrenme stilleri dikkate alınırken etkinlikler/materyal sade, kolay ve anlaşılır olabilir. Bunlar tüm duyulara hitap edecek şekilde basitten karmaşığa, yakından uzağa, somuttan soyuta gibi öğrenme ilkelerine uygun ve tüm öğrenme ortamlarında uygulanacak şekilde düzenlenebilir.</w:t>
            </w:r>
          </w:p>
          <w:p w14:paraId="2132C460" w14:textId="644FF890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Destekleme sürecinde oyun, bilmece sorma, bulmaca çözme şarkı ve tekerleme söyleme, sayışma ve canlandırma yapma gibi etkinliklerden ve görsel eşleştirme kartlarından yararlanılabilir. Etkinlikler yapılırken öğrencilerin zorlandıkları yerlerde onlara ipuçları verilebilir</w:t>
            </w: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874EE6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</w:t>
      </w:r>
      <w:proofErr w:type="gramStart"/>
      <w:r w:rsidRPr="00874EE6">
        <w:rPr>
          <w:b/>
          <w:sz w:val="18"/>
          <w:szCs w:val="18"/>
        </w:rPr>
        <w:t>/….</w:t>
      </w:r>
      <w:proofErr w:type="gramEnd"/>
      <w:r w:rsidRPr="00874EE6">
        <w:rPr>
          <w:b/>
          <w:sz w:val="18"/>
          <w:szCs w:val="18"/>
        </w:rPr>
        <w:t>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19CBA" w14:textId="77777777" w:rsidR="00046418" w:rsidRDefault="00046418" w:rsidP="00161E3C">
      <w:r>
        <w:separator/>
      </w:r>
    </w:p>
  </w:endnote>
  <w:endnote w:type="continuationSeparator" w:id="0">
    <w:p w14:paraId="7E498124" w14:textId="77777777" w:rsidR="00046418" w:rsidRDefault="000464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5BB52" w14:textId="77777777" w:rsidR="00046418" w:rsidRDefault="00046418" w:rsidP="00161E3C">
      <w:r>
        <w:separator/>
      </w:r>
    </w:p>
  </w:footnote>
  <w:footnote w:type="continuationSeparator" w:id="0">
    <w:p w14:paraId="0F042A51" w14:textId="77777777" w:rsidR="00046418" w:rsidRDefault="000464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418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E13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2024-08-16T19:20:00Z</dcterms:created>
  <dcterms:modified xsi:type="dcterms:W3CDTF">2025-08-28T17:23:00Z</dcterms:modified>
</cp:coreProperties>
</file>